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Use this document to learn about stackable credits.</w:t>
      </w:r>
    </w:p>
    <w:p w:rsidR="00000000" w:rsidDel="00000000" w:rsidP="00000000" w:rsidRDefault="00000000" w:rsidRPr="00000000" w14:paraId="00000002">
      <w:pPr>
        <w:spacing w:after="0" w:line="240" w:lineRule="auto"/>
        <w:rPr>
          <w:b w:val="1"/>
          <w:i w:val="1"/>
          <w:sz w:val="28"/>
          <w:szCs w:val="28"/>
        </w:rPr>
      </w:pPr>
      <w:r w:rsidDel="00000000" w:rsidR="00000000" w:rsidRPr="00000000">
        <w:rPr>
          <w:rtl w:val="0"/>
        </w:rPr>
      </w:r>
    </w:p>
    <w:p w:rsidR="00000000" w:rsidDel="00000000" w:rsidP="00000000" w:rsidRDefault="00000000" w:rsidRPr="00000000" w14:paraId="00000003">
      <w:pPr>
        <w:spacing w:after="0" w:line="240" w:lineRule="auto"/>
        <w:rPr>
          <w:b w:val="1"/>
          <w:i w:val="1"/>
          <w:sz w:val="28"/>
          <w:szCs w:val="28"/>
        </w:rPr>
      </w:pPr>
      <w:r w:rsidDel="00000000" w:rsidR="00000000" w:rsidRPr="00000000">
        <w:rPr>
          <w:b w:val="1"/>
          <w:i w:val="1"/>
          <w:sz w:val="28"/>
          <w:szCs w:val="28"/>
          <w:rtl w:val="0"/>
        </w:rPr>
        <w:t xml:space="preserve">What are Stackable Credits?</w:t>
      </w:r>
    </w:p>
    <w:p w:rsidR="00000000" w:rsidDel="00000000" w:rsidP="00000000" w:rsidRDefault="00000000" w:rsidRPr="00000000" w14:paraId="00000004">
      <w:pPr>
        <w:spacing w:after="0" w:line="240" w:lineRule="auto"/>
        <w:rPr>
          <w:sz w:val="28"/>
          <w:szCs w:val="28"/>
        </w:rPr>
      </w:pPr>
      <w:r w:rsidDel="00000000" w:rsidR="00000000" w:rsidRPr="00000000">
        <w:rPr>
          <w:sz w:val="28"/>
          <w:szCs w:val="28"/>
          <w:rtl w:val="0"/>
        </w:rPr>
        <w:t xml:space="preserve">Stackable credits are sequences of credentials that students accumulate over time in order to demonstrate qualifications that will help them advance in their careers. Such credits and credentials are often developed based on technology and customer service needs of industries such as health care, information technology, and hospitality.</w:t>
      </w:r>
    </w:p>
    <w:p w:rsidR="00000000" w:rsidDel="00000000" w:rsidP="00000000" w:rsidRDefault="00000000" w:rsidRPr="00000000" w14:paraId="00000005">
      <w:pPr>
        <w:spacing w:after="0" w:line="240" w:lineRule="auto"/>
        <w:rPr>
          <w:sz w:val="28"/>
          <w:szCs w:val="28"/>
        </w:rPr>
      </w:pPr>
      <w:r w:rsidDel="00000000" w:rsidR="00000000" w:rsidRPr="00000000">
        <w:rPr>
          <w:rtl w:val="0"/>
        </w:rPr>
      </w:r>
    </w:p>
    <w:p w:rsidR="00000000" w:rsidDel="00000000" w:rsidP="00000000" w:rsidRDefault="00000000" w:rsidRPr="00000000" w14:paraId="00000006">
      <w:pPr>
        <w:spacing w:after="0" w:line="240" w:lineRule="auto"/>
        <w:rPr>
          <w:b w:val="1"/>
          <w:i w:val="1"/>
          <w:sz w:val="28"/>
          <w:szCs w:val="28"/>
        </w:rPr>
      </w:pPr>
      <w:r w:rsidDel="00000000" w:rsidR="00000000" w:rsidRPr="00000000">
        <w:rPr>
          <w:b w:val="1"/>
          <w:i w:val="1"/>
          <w:sz w:val="28"/>
          <w:szCs w:val="28"/>
          <w:rtl w:val="0"/>
        </w:rPr>
        <w:t xml:space="preserve">Examples of Stackable Credits/Credentials</w:t>
      </w:r>
    </w:p>
    <w:p w:rsidR="00000000" w:rsidDel="00000000" w:rsidP="00000000" w:rsidRDefault="00000000" w:rsidRPr="00000000" w14:paraId="00000007">
      <w:pPr>
        <w:spacing w:after="0" w:line="240" w:lineRule="auto"/>
        <w:rPr>
          <w:sz w:val="28"/>
          <w:szCs w:val="28"/>
        </w:rPr>
      </w:pPr>
      <w:r w:rsidDel="00000000" w:rsidR="00000000" w:rsidRPr="00000000">
        <w:rPr>
          <w:sz w:val="28"/>
          <w:szCs w:val="28"/>
          <w:rtl w:val="0"/>
        </w:rPr>
        <w:t xml:space="preserve">An example of “vertical” stackable credits includes the following sequencing:</w:t>
      </w:r>
    </w:p>
    <w:p w:rsidR="00000000" w:rsidDel="00000000" w:rsidP="00000000" w:rsidRDefault="00000000" w:rsidRPr="00000000" w14:paraId="00000008">
      <w:pPr>
        <w:numPr>
          <w:ilvl w:val="0"/>
          <w:numId w:val="1"/>
        </w:numPr>
        <w:spacing w:after="0" w:line="240" w:lineRule="auto"/>
        <w:ind w:left="720" w:hanging="360"/>
        <w:rPr>
          <w:sz w:val="28"/>
          <w:szCs w:val="28"/>
          <w:u w:val="none"/>
        </w:rPr>
      </w:pPr>
      <w:r w:rsidDel="00000000" w:rsidR="00000000" w:rsidRPr="00000000">
        <w:rPr>
          <w:sz w:val="28"/>
          <w:szCs w:val="28"/>
          <w:rtl w:val="0"/>
        </w:rPr>
        <w:t xml:space="preserve">Obtaining a high school diploma or GED; the high school diploma can include dual enrollment credits</w:t>
      </w:r>
    </w:p>
    <w:p w:rsidR="00000000" w:rsidDel="00000000" w:rsidP="00000000" w:rsidRDefault="00000000" w:rsidRPr="00000000" w14:paraId="00000009">
      <w:pPr>
        <w:numPr>
          <w:ilvl w:val="0"/>
          <w:numId w:val="1"/>
        </w:numPr>
        <w:spacing w:after="0" w:line="240" w:lineRule="auto"/>
        <w:ind w:left="720" w:hanging="360"/>
        <w:rPr>
          <w:sz w:val="28"/>
          <w:szCs w:val="28"/>
          <w:u w:val="none"/>
        </w:rPr>
      </w:pPr>
      <w:r w:rsidDel="00000000" w:rsidR="00000000" w:rsidRPr="00000000">
        <w:rPr>
          <w:sz w:val="28"/>
          <w:szCs w:val="28"/>
          <w:rtl w:val="0"/>
        </w:rPr>
        <w:t xml:space="preserve">Earning an associate degree to stack onto the diploma or GED</w:t>
      </w:r>
    </w:p>
    <w:p w:rsidR="00000000" w:rsidDel="00000000" w:rsidP="00000000" w:rsidRDefault="00000000" w:rsidRPr="00000000" w14:paraId="0000000A">
      <w:pPr>
        <w:numPr>
          <w:ilvl w:val="0"/>
          <w:numId w:val="1"/>
        </w:numPr>
        <w:spacing w:after="0" w:line="240" w:lineRule="auto"/>
        <w:ind w:left="720" w:hanging="360"/>
        <w:rPr>
          <w:sz w:val="28"/>
          <w:szCs w:val="28"/>
          <w:u w:val="none"/>
        </w:rPr>
      </w:pPr>
      <w:r w:rsidDel="00000000" w:rsidR="00000000" w:rsidRPr="00000000">
        <w:rPr>
          <w:sz w:val="28"/>
          <w:szCs w:val="28"/>
          <w:rtl w:val="0"/>
        </w:rPr>
        <w:t xml:space="preserve">Entering a 4-year institution to build on the stackable credits that count toward a bachelor program</w:t>
      </w:r>
    </w:p>
    <w:p w:rsidR="00000000" w:rsidDel="00000000" w:rsidP="00000000" w:rsidRDefault="00000000" w:rsidRPr="00000000" w14:paraId="0000000B">
      <w:pPr>
        <w:spacing w:after="0" w:line="240" w:lineRule="auto"/>
        <w:rPr>
          <w:sz w:val="28"/>
          <w:szCs w:val="28"/>
        </w:rPr>
      </w:pPr>
      <w:r w:rsidDel="00000000" w:rsidR="00000000" w:rsidRPr="00000000">
        <w:rPr>
          <w:rtl w:val="0"/>
        </w:rPr>
      </w:r>
    </w:p>
    <w:p w:rsidR="00000000" w:rsidDel="00000000" w:rsidP="00000000" w:rsidRDefault="00000000" w:rsidRPr="00000000" w14:paraId="0000000C">
      <w:pPr>
        <w:spacing w:after="0" w:line="240" w:lineRule="auto"/>
        <w:rPr>
          <w:rFonts w:ascii="Roboto" w:cs="Roboto" w:eastAsia="Roboto" w:hAnsi="Roboto"/>
          <w:sz w:val="27"/>
          <w:szCs w:val="27"/>
          <w:highlight w:val="white"/>
        </w:rPr>
      </w:pPr>
      <w:r w:rsidDel="00000000" w:rsidR="00000000" w:rsidRPr="00000000">
        <w:rPr>
          <w:sz w:val="28"/>
          <w:szCs w:val="28"/>
          <w:rtl w:val="0"/>
        </w:rPr>
        <w:t xml:space="preserve">“Horizontal” examples might include earning credentials, such as certificates in healthcare or information technology fields. For instance, in information technology, one might earn a CompTIA certificate, Cisco Certified Network Associate certificate, and a Microsoft Certified Solutions Expert certificate in order to broaden skill sets and to expand career opportunities.  </w:t>
      </w:r>
      <w:r w:rsidDel="00000000" w:rsidR="00000000" w:rsidRPr="00000000">
        <w:rPr>
          <w:rtl w:val="0"/>
        </w:rPr>
      </w:r>
    </w:p>
    <w:p w:rsidR="00000000" w:rsidDel="00000000" w:rsidP="00000000" w:rsidRDefault="00000000" w:rsidRPr="00000000" w14:paraId="0000000D">
      <w:pPr>
        <w:spacing w:after="0" w:line="240" w:lineRule="auto"/>
        <w:rPr>
          <w:rFonts w:ascii="Roboto" w:cs="Roboto" w:eastAsia="Roboto" w:hAnsi="Roboto"/>
          <w:sz w:val="27"/>
          <w:szCs w:val="27"/>
          <w:highlight w:val="white"/>
        </w:rPr>
      </w:pPr>
      <w:r w:rsidDel="00000000" w:rsidR="00000000" w:rsidRPr="00000000">
        <w:rPr>
          <w:rtl w:val="0"/>
        </w:rPr>
      </w:r>
    </w:p>
    <w:p w:rsidR="00000000" w:rsidDel="00000000" w:rsidP="00000000" w:rsidRDefault="00000000" w:rsidRPr="00000000" w14:paraId="0000000E">
      <w:pPr>
        <w:spacing w:after="0" w:line="240" w:lineRule="auto"/>
        <w:ind w:left="0" w:firstLine="0"/>
        <w:rPr>
          <w:b w:val="1"/>
          <w:i w:val="1"/>
          <w:color w:val="25282a"/>
          <w:sz w:val="28"/>
          <w:szCs w:val="28"/>
          <w:highlight w:val="white"/>
        </w:rPr>
      </w:pPr>
      <w:r w:rsidDel="00000000" w:rsidR="00000000" w:rsidRPr="00000000">
        <w:rPr>
          <w:b w:val="1"/>
          <w:i w:val="1"/>
          <w:color w:val="25282a"/>
          <w:sz w:val="28"/>
          <w:szCs w:val="28"/>
          <w:highlight w:val="white"/>
          <w:rtl w:val="0"/>
        </w:rPr>
        <w:t xml:space="preserve">Benefits of Stackable Credits</w:t>
      </w:r>
    </w:p>
    <w:p w:rsidR="00000000" w:rsidDel="00000000" w:rsidP="00000000" w:rsidRDefault="00000000" w:rsidRPr="00000000" w14:paraId="0000000F">
      <w:pPr>
        <w:spacing w:after="0" w:line="240" w:lineRule="auto"/>
        <w:ind w:left="0" w:firstLine="0"/>
        <w:rPr>
          <w:sz w:val="28"/>
          <w:szCs w:val="28"/>
          <w:highlight w:val="white"/>
        </w:rPr>
      </w:pPr>
      <w:r w:rsidDel="00000000" w:rsidR="00000000" w:rsidRPr="00000000">
        <w:rPr>
          <w:sz w:val="28"/>
          <w:szCs w:val="28"/>
          <w:highlight w:val="white"/>
          <w:rtl w:val="0"/>
        </w:rPr>
        <w:t xml:space="preserve">Creating alternative career pathways that “stack” or align sequenced learning with on-the-job training may help you throughout your career. Such stackable credentials can offer you flexibility in entering and exiting professional and educational experiences, in career mobility, and with incentives for more learning opportunities.</w:t>
      </w:r>
    </w:p>
    <w:p w:rsidR="00000000" w:rsidDel="00000000" w:rsidP="00000000" w:rsidRDefault="00000000" w:rsidRPr="00000000" w14:paraId="00000010">
      <w:pPr>
        <w:spacing w:after="0" w:line="240" w:lineRule="auto"/>
        <w:ind w:left="0" w:firstLine="0"/>
        <w:rPr>
          <w:color w:val="25282a"/>
          <w:sz w:val="28"/>
          <w:szCs w:val="28"/>
          <w:highlight w:val="white"/>
        </w:rPr>
      </w:pPr>
      <w:r w:rsidDel="00000000" w:rsidR="00000000" w:rsidRPr="00000000">
        <w:rPr>
          <w:rtl w:val="0"/>
        </w:rPr>
      </w:r>
    </w:p>
    <w:p w:rsidR="00000000" w:rsidDel="00000000" w:rsidP="00000000" w:rsidRDefault="00000000" w:rsidRPr="00000000" w14:paraId="00000011">
      <w:pPr>
        <w:spacing w:after="0" w:line="240" w:lineRule="auto"/>
        <w:ind w:left="0" w:firstLine="0"/>
        <w:rPr>
          <w:color w:val="25282a"/>
          <w:sz w:val="28"/>
          <w:szCs w:val="28"/>
          <w:highlight w:val="white"/>
        </w:rPr>
      </w:pPr>
      <w:r w:rsidDel="00000000" w:rsidR="00000000" w:rsidRPr="00000000">
        <w:rPr>
          <w:rtl w:val="0"/>
        </w:rPr>
      </w:r>
    </w:p>
    <w:p w:rsidR="00000000" w:rsidDel="00000000" w:rsidP="00000000" w:rsidRDefault="00000000" w:rsidRPr="00000000" w14:paraId="00000012">
      <w:pPr>
        <w:spacing w:line="240" w:lineRule="auto"/>
        <w:jc w:val="center"/>
        <w:rPr>
          <w:i w:val="1"/>
          <w:sz w:val="28"/>
          <w:szCs w:val="28"/>
        </w:rPr>
      </w:pPr>
      <w:r w:rsidDel="00000000" w:rsidR="00000000" w:rsidRPr="00000000">
        <w:rPr>
          <w:b w:val="1"/>
          <w:i w:val="1"/>
          <w:sz w:val="28"/>
          <w:szCs w:val="28"/>
          <w:rtl w:val="0"/>
        </w:rPr>
        <w:t xml:space="preserve">Next Steps: </w:t>
      </w:r>
      <w:r w:rsidDel="00000000" w:rsidR="00000000" w:rsidRPr="00000000">
        <w:rPr>
          <w:i w:val="1"/>
          <w:sz w:val="28"/>
          <w:szCs w:val="28"/>
          <w:rtl w:val="0"/>
        </w:rPr>
        <w:t xml:space="preserve">Consult with your guidance counselor or advisor to explore ways you can use stackable credits in your academic and career preparation. </w:t>
      </w:r>
    </w:p>
    <w:sectPr>
      <w:headerReference r:id="rId7" w:type="default"/>
      <w:pgSz w:h="15840" w:w="12240" w:orient="portrait"/>
      <w:pgMar w:bottom="90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118745" distR="118745" hidden="0" layoutInCell="1" locked="0" relativeHeight="0" simplePos="0">
              <wp:simplePos x="0" y="0"/>
              <wp:positionH relativeFrom="margin">
                <wp:align>center</wp:align>
              </wp:positionH>
              <wp:positionV relativeFrom="page">
                <wp:posOffset>437832</wp:posOffset>
              </wp:positionV>
              <wp:extent cx="5978614" cy="286058"/>
              <wp:effectExtent b="0" l="0" r="0" t="0"/>
              <wp:wrapSquare wrapText="bothSides" distB="0" distT="0" distL="118745" distR="118745"/>
              <wp:docPr id="200" name=""/>
              <a:graphic>
                <a:graphicData uri="http://schemas.microsoft.com/office/word/2010/wordprocessingShape">
                  <wps:wsp>
                    <wps:cNvSpPr/>
                    <wps:cNvPr id="2" name="Shape 2"/>
                    <wps:spPr>
                      <a:xfrm>
                        <a:off x="2370981" y="3644772"/>
                        <a:ext cx="5950039" cy="270457"/>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ffffff"/>
                              <w:sz w:val="28"/>
                              <w:vertAlign w:val="baseline"/>
                            </w:rPr>
                            <w:t xml:space="preserve">ACADEMIC PLANNING: </w:t>
                          </w:r>
                          <w:r w:rsidDel="00000000" w:rsidR="00000000" w:rsidRPr="00000000">
                            <w:rPr>
                              <w:rFonts w:ascii="Calibri" w:cs="Calibri" w:eastAsia="Calibri" w:hAnsi="Calibri"/>
                              <w:b w:val="0"/>
                              <w:i w:val="0"/>
                              <w:smallCaps w:val="0"/>
                              <w:strike w:val="0"/>
                              <w:color w:val="ffffff"/>
                              <w:sz w:val="28"/>
                              <w:vertAlign w:val="baseline"/>
                            </w:rPr>
                            <w:t xml:space="preserve">STACKABLE CREDITS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8745" distR="118745" hidden="0" layoutInCell="1" locked="0" relativeHeight="0" simplePos="0">
              <wp:simplePos x="0" y="0"/>
              <wp:positionH relativeFrom="margin">
                <wp:align>center</wp:align>
              </wp:positionH>
              <wp:positionV relativeFrom="page">
                <wp:posOffset>437832</wp:posOffset>
              </wp:positionV>
              <wp:extent cx="5978614" cy="286058"/>
              <wp:effectExtent b="0" l="0" r="0" t="0"/>
              <wp:wrapSquare wrapText="bothSides" distB="0" distT="0" distL="118745" distR="118745"/>
              <wp:docPr id="200"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78614" cy="286058"/>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93A0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24C56"/>
    <w:pPr>
      <w:ind w:left="720"/>
      <w:contextualSpacing w:val="1"/>
    </w:pPr>
  </w:style>
  <w:style w:type="paragraph" w:styleId="Header">
    <w:name w:val="header"/>
    <w:basedOn w:val="Normal"/>
    <w:link w:val="HeaderChar"/>
    <w:uiPriority w:val="99"/>
    <w:unhideWhenUsed w:val="1"/>
    <w:rsid w:val="00324C56"/>
    <w:pPr>
      <w:tabs>
        <w:tab w:val="center" w:pos="4680"/>
        <w:tab w:val="right" w:pos="9360"/>
      </w:tabs>
      <w:spacing w:after="0" w:line="240" w:lineRule="auto"/>
    </w:pPr>
  </w:style>
  <w:style w:type="character" w:styleId="HeaderChar" w:customStyle="1">
    <w:name w:val="Header Char"/>
    <w:basedOn w:val="DefaultParagraphFont"/>
    <w:link w:val="Header"/>
    <w:uiPriority w:val="99"/>
    <w:rsid w:val="00324C56"/>
  </w:style>
  <w:style w:type="paragraph" w:styleId="Footer">
    <w:name w:val="footer"/>
    <w:basedOn w:val="Normal"/>
    <w:link w:val="FooterChar"/>
    <w:uiPriority w:val="99"/>
    <w:unhideWhenUsed w:val="1"/>
    <w:rsid w:val="00324C56"/>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4C56"/>
  </w:style>
  <w:style w:type="character" w:styleId="Hyperlink">
    <w:name w:val="Hyperlink"/>
    <w:basedOn w:val="DefaultParagraphFont"/>
    <w:uiPriority w:val="99"/>
    <w:unhideWhenUsed w:val="1"/>
    <w:rsid w:val="00B36B7A"/>
    <w:rPr>
      <w:color w:val="0563c1" w:themeColor="hyperlink"/>
      <w:u w:val="single"/>
    </w:rPr>
  </w:style>
  <w:style w:type="character" w:styleId="UnresolvedMention">
    <w:name w:val="Unresolved Mention"/>
    <w:basedOn w:val="DefaultParagraphFont"/>
    <w:uiPriority w:val="99"/>
    <w:semiHidden w:val="1"/>
    <w:unhideWhenUsed w:val="1"/>
    <w:rsid w:val="00B36B7A"/>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ZnByTUJlhZXbO1G13GEN6LoCWw==">AMUW2mWv4IGFzh8h5Z5NHq1LnW+aoCSxwn7GeFsZrl/P2RglwGyAYPkVHfsT+DcZTzhy/IQ3SIOdB4fSzWrpZsXJwhFGqPkLwsGBF8XzBY8w8IM4wjiJGKE=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2020-07-10T18:31:00Z</dcterms:created>
  <dc:creator>Erin Hall-Singleton</dc:creator>
</cp:coreProperties>
</file>